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72ED" w14:textId="77777777" w:rsidR="000E6634" w:rsidRPr="000E6634" w:rsidRDefault="000E6634" w:rsidP="000E6634">
      <w:pPr>
        <w:rPr>
          <w:b/>
          <w:bCs/>
          <w:sz w:val="24"/>
          <w:szCs w:val="24"/>
        </w:rPr>
      </w:pPr>
      <w:r w:rsidRPr="000E6634">
        <w:rPr>
          <w:b/>
          <w:bCs/>
          <w:sz w:val="24"/>
          <w:szCs w:val="24"/>
        </w:rPr>
        <w:t>Saugos Duomenų Lapai Pagal REACH ir CLP Reglamentus</w:t>
      </w:r>
    </w:p>
    <w:p w14:paraId="7496AF48" w14:textId="77777777" w:rsidR="000E6634" w:rsidRPr="000E6634" w:rsidRDefault="000E6634" w:rsidP="000E6634">
      <w:pPr>
        <w:rPr>
          <w:sz w:val="24"/>
          <w:szCs w:val="24"/>
        </w:rPr>
      </w:pPr>
      <w:r w:rsidRPr="000E6634">
        <w:rPr>
          <w:b/>
          <w:bCs/>
          <w:sz w:val="24"/>
          <w:szCs w:val="24"/>
        </w:rPr>
        <w:t>Saugos duomenų lapai</w:t>
      </w:r>
      <w:r w:rsidRPr="000E6634">
        <w:rPr>
          <w:sz w:val="24"/>
          <w:szCs w:val="24"/>
        </w:rPr>
        <w:t> (SDL) yra esminis dokumentas, skirtas užtikrinti saugų cheminių medžiagų ir mišinių naudojimą. Pagal </w:t>
      </w:r>
      <w:r w:rsidRPr="000E6634">
        <w:rPr>
          <w:b/>
          <w:bCs/>
          <w:sz w:val="24"/>
          <w:szCs w:val="24"/>
        </w:rPr>
        <w:t>REACH</w:t>
      </w:r>
      <w:r w:rsidRPr="000E6634">
        <w:rPr>
          <w:sz w:val="24"/>
          <w:szCs w:val="24"/>
        </w:rPr>
        <w:t> ir </w:t>
      </w:r>
      <w:r w:rsidRPr="000E6634">
        <w:rPr>
          <w:b/>
          <w:bCs/>
          <w:sz w:val="24"/>
          <w:szCs w:val="24"/>
        </w:rPr>
        <w:t>CLP</w:t>
      </w:r>
      <w:r w:rsidRPr="000E6634">
        <w:rPr>
          <w:sz w:val="24"/>
          <w:szCs w:val="24"/>
        </w:rPr>
        <w:t> reglamentus, šie dokumentai turi būti parengti laikantis griežtų reikalavimų, kad būtų pateikta išsami informacija apie cheminės medžiagos ar mišinio pavojingumą, saugos priemones ir kitą svarbią informaciją.</w:t>
      </w:r>
    </w:p>
    <w:p w14:paraId="53CF5E68" w14:textId="77777777" w:rsidR="000E6634" w:rsidRPr="000E6634" w:rsidRDefault="000E6634" w:rsidP="000E6634">
      <w:pPr>
        <w:rPr>
          <w:b/>
          <w:bCs/>
          <w:sz w:val="24"/>
          <w:szCs w:val="24"/>
        </w:rPr>
      </w:pPr>
      <w:r w:rsidRPr="000E6634">
        <w:rPr>
          <w:b/>
          <w:bCs/>
          <w:sz w:val="24"/>
          <w:szCs w:val="24"/>
        </w:rPr>
        <w:t>Saugos Duomenų Lapų Turinys ir Formatas</w:t>
      </w:r>
    </w:p>
    <w:p w14:paraId="15929888" w14:textId="45F5D52A" w:rsidR="000E6634" w:rsidRPr="000E6634" w:rsidRDefault="000E6634" w:rsidP="000E6634">
      <w:pPr>
        <w:tabs>
          <w:tab w:val="num" w:pos="720"/>
        </w:tabs>
        <w:rPr>
          <w:sz w:val="24"/>
          <w:szCs w:val="24"/>
        </w:rPr>
      </w:pPr>
      <w:r w:rsidRPr="000E6634">
        <w:rPr>
          <w:b/>
          <w:bCs/>
          <w:sz w:val="24"/>
          <w:szCs w:val="24"/>
        </w:rPr>
        <w:t>Saugos duomenų lapas</w:t>
      </w:r>
      <w:r w:rsidRPr="000E6634">
        <w:rPr>
          <w:sz w:val="24"/>
          <w:szCs w:val="24"/>
        </w:rPr>
        <w:t xml:space="preserve"> turi būti sudarytas pagal REACH reglamento II priedą, kuris apibrėžia formatą ir turinį. Šiame dokumente turi būti pateikta išsami informacija apie: </w:t>
      </w:r>
      <w:r w:rsidRPr="000E6634">
        <w:rPr>
          <w:b/>
          <w:bCs/>
          <w:sz w:val="24"/>
          <w:szCs w:val="24"/>
        </w:rPr>
        <w:t>Cheminės medžiagos ar mišinio identifikaciją</w:t>
      </w:r>
      <w:r w:rsidRPr="000E6634">
        <w:rPr>
          <w:sz w:val="24"/>
          <w:szCs w:val="24"/>
        </w:rPr>
        <w:t xml:space="preserve">, </w:t>
      </w:r>
      <w:r w:rsidRPr="000E6634">
        <w:rPr>
          <w:b/>
          <w:bCs/>
          <w:sz w:val="24"/>
          <w:szCs w:val="24"/>
        </w:rPr>
        <w:t>Pavojingumo identifikaciją</w:t>
      </w:r>
      <w:r w:rsidRPr="000E6634">
        <w:rPr>
          <w:sz w:val="24"/>
          <w:szCs w:val="24"/>
        </w:rPr>
        <w:t xml:space="preserve">, </w:t>
      </w:r>
      <w:r w:rsidRPr="000E6634">
        <w:rPr>
          <w:b/>
          <w:bCs/>
          <w:sz w:val="24"/>
          <w:szCs w:val="24"/>
        </w:rPr>
        <w:t>Sudėtį ir informaciją apie sudedamąsias dalis</w:t>
      </w:r>
      <w:r w:rsidRPr="000E6634">
        <w:rPr>
          <w:sz w:val="24"/>
          <w:szCs w:val="24"/>
        </w:rPr>
        <w:t xml:space="preserve">, </w:t>
      </w:r>
      <w:r w:rsidRPr="000E6634">
        <w:rPr>
          <w:b/>
          <w:bCs/>
          <w:sz w:val="24"/>
          <w:szCs w:val="24"/>
        </w:rPr>
        <w:t>Pirmosios pagalbos priemones</w:t>
      </w:r>
      <w:r w:rsidRPr="000E6634">
        <w:rPr>
          <w:sz w:val="24"/>
          <w:szCs w:val="24"/>
        </w:rPr>
        <w:t xml:space="preserve">, </w:t>
      </w:r>
      <w:r w:rsidRPr="000E6634">
        <w:rPr>
          <w:b/>
          <w:bCs/>
          <w:sz w:val="24"/>
          <w:szCs w:val="24"/>
        </w:rPr>
        <w:t>Priešgaisrines priemones</w:t>
      </w:r>
      <w:r w:rsidRPr="000E6634">
        <w:rPr>
          <w:sz w:val="24"/>
          <w:szCs w:val="24"/>
        </w:rPr>
        <w:t xml:space="preserve">, </w:t>
      </w:r>
      <w:r w:rsidRPr="000E6634">
        <w:rPr>
          <w:b/>
          <w:bCs/>
          <w:sz w:val="24"/>
          <w:szCs w:val="24"/>
        </w:rPr>
        <w:t>Avarinės situacijos priemones</w:t>
      </w:r>
      <w:r w:rsidRPr="000E6634">
        <w:rPr>
          <w:sz w:val="24"/>
          <w:szCs w:val="24"/>
        </w:rPr>
        <w:t xml:space="preserve">, </w:t>
      </w:r>
      <w:r w:rsidRPr="000E6634">
        <w:rPr>
          <w:b/>
          <w:bCs/>
          <w:sz w:val="24"/>
          <w:szCs w:val="24"/>
        </w:rPr>
        <w:t>Tvarkymą ir sandėliavimą</w:t>
      </w:r>
      <w:r w:rsidRPr="000E6634">
        <w:rPr>
          <w:sz w:val="24"/>
          <w:szCs w:val="24"/>
        </w:rPr>
        <w:t xml:space="preserve">, </w:t>
      </w:r>
      <w:r w:rsidRPr="000E6634">
        <w:rPr>
          <w:b/>
          <w:bCs/>
          <w:sz w:val="24"/>
          <w:szCs w:val="24"/>
        </w:rPr>
        <w:t>Poveikio kontrolę ir asmens apsaugą</w:t>
      </w:r>
      <w:r w:rsidRPr="000E6634">
        <w:rPr>
          <w:sz w:val="24"/>
          <w:szCs w:val="24"/>
        </w:rPr>
        <w:t xml:space="preserve">, </w:t>
      </w:r>
      <w:r w:rsidRPr="000E6634">
        <w:rPr>
          <w:b/>
          <w:bCs/>
          <w:sz w:val="24"/>
          <w:szCs w:val="24"/>
        </w:rPr>
        <w:t>Fizines ir chemines savybes</w:t>
      </w:r>
      <w:r w:rsidRPr="000E6634">
        <w:rPr>
          <w:sz w:val="24"/>
          <w:szCs w:val="24"/>
        </w:rPr>
        <w:t xml:space="preserve">, </w:t>
      </w:r>
      <w:r w:rsidRPr="000E6634">
        <w:rPr>
          <w:b/>
          <w:bCs/>
          <w:sz w:val="24"/>
          <w:szCs w:val="24"/>
        </w:rPr>
        <w:t>Stabilumą ir reaktyvumą</w:t>
      </w:r>
      <w:r w:rsidRPr="000E6634">
        <w:rPr>
          <w:sz w:val="24"/>
          <w:szCs w:val="24"/>
        </w:rPr>
        <w:t xml:space="preserve">, </w:t>
      </w:r>
      <w:proofErr w:type="spellStart"/>
      <w:r w:rsidRPr="000E6634">
        <w:rPr>
          <w:b/>
          <w:bCs/>
          <w:sz w:val="24"/>
          <w:szCs w:val="24"/>
        </w:rPr>
        <w:t>Toksikologinę</w:t>
      </w:r>
      <w:proofErr w:type="spellEnd"/>
      <w:r w:rsidRPr="000E6634">
        <w:rPr>
          <w:b/>
          <w:bCs/>
          <w:sz w:val="24"/>
          <w:szCs w:val="24"/>
        </w:rPr>
        <w:t xml:space="preserve"> informaciją</w:t>
      </w:r>
      <w:r w:rsidRPr="000E6634">
        <w:rPr>
          <w:sz w:val="24"/>
          <w:szCs w:val="24"/>
        </w:rPr>
        <w:t xml:space="preserve">, </w:t>
      </w:r>
      <w:r w:rsidRPr="000E6634">
        <w:rPr>
          <w:b/>
          <w:bCs/>
          <w:sz w:val="24"/>
          <w:szCs w:val="24"/>
        </w:rPr>
        <w:t>Ekologinę informaciją</w:t>
      </w:r>
      <w:r w:rsidRPr="000E6634">
        <w:rPr>
          <w:sz w:val="24"/>
          <w:szCs w:val="24"/>
        </w:rPr>
        <w:t xml:space="preserve">, </w:t>
      </w:r>
      <w:r w:rsidRPr="000E6634">
        <w:rPr>
          <w:b/>
          <w:bCs/>
          <w:sz w:val="24"/>
          <w:szCs w:val="24"/>
        </w:rPr>
        <w:t>Šalinimo nuostatas</w:t>
      </w:r>
      <w:r w:rsidRPr="000E6634">
        <w:rPr>
          <w:sz w:val="24"/>
          <w:szCs w:val="24"/>
        </w:rPr>
        <w:t xml:space="preserve">, </w:t>
      </w:r>
      <w:r w:rsidRPr="000E6634">
        <w:rPr>
          <w:b/>
          <w:bCs/>
          <w:sz w:val="24"/>
          <w:szCs w:val="24"/>
        </w:rPr>
        <w:t>Transportavimo informaciją</w:t>
      </w:r>
      <w:r w:rsidRPr="000E6634">
        <w:rPr>
          <w:sz w:val="24"/>
          <w:szCs w:val="24"/>
        </w:rPr>
        <w:t xml:space="preserve">, </w:t>
      </w:r>
      <w:r w:rsidRPr="000E6634">
        <w:rPr>
          <w:b/>
          <w:bCs/>
          <w:sz w:val="24"/>
          <w:szCs w:val="24"/>
        </w:rPr>
        <w:t>Reglamentavimo informaciją</w:t>
      </w:r>
      <w:r w:rsidRPr="000E6634">
        <w:rPr>
          <w:sz w:val="24"/>
          <w:szCs w:val="24"/>
        </w:rPr>
        <w:t xml:space="preserve">, </w:t>
      </w:r>
      <w:r w:rsidRPr="000E6634">
        <w:rPr>
          <w:b/>
          <w:bCs/>
          <w:sz w:val="24"/>
          <w:szCs w:val="24"/>
        </w:rPr>
        <w:t>Kitas svarbias detales</w:t>
      </w:r>
      <w:r w:rsidRPr="000E6634">
        <w:rPr>
          <w:sz w:val="24"/>
          <w:szCs w:val="24"/>
        </w:rPr>
        <w:t>.</w:t>
      </w:r>
    </w:p>
    <w:p w14:paraId="33F24FBB" w14:textId="77777777" w:rsidR="000E6634" w:rsidRPr="000E6634" w:rsidRDefault="000E6634" w:rsidP="000E6634">
      <w:pPr>
        <w:rPr>
          <w:b/>
          <w:bCs/>
          <w:sz w:val="24"/>
          <w:szCs w:val="24"/>
        </w:rPr>
      </w:pPr>
      <w:r w:rsidRPr="000E6634">
        <w:rPr>
          <w:b/>
          <w:bCs/>
          <w:sz w:val="24"/>
          <w:szCs w:val="24"/>
        </w:rPr>
        <w:t>Kada Reikia Pateikti Saugos Duomenų Lapą</w:t>
      </w:r>
    </w:p>
    <w:p w14:paraId="71E986DB" w14:textId="04554B83" w:rsidR="000E6634" w:rsidRPr="000E6634" w:rsidRDefault="00000000" w:rsidP="000E6634">
      <w:pPr>
        <w:rPr>
          <w:sz w:val="24"/>
          <w:szCs w:val="24"/>
        </w:rPr>
      </w:pPr>
      <w:hyperlink r:id="rId5" w:history="1">
        <w:r w:rsidR="000E6634" w:rsidRPr="000E6634">
          <w:rPr>
            <w:rStyle w:val="Hyperlink"/>
            <w:sz w:val="24"/>
            <w:szCs w:val="24"/>
          </w:rPr>
          <w:t>Pagal REACH reglamentą, </w:t>
        </w:r>
        <w:r w:rsidR="000E6634" w:rsidRPr="000E6634">
          <w:rPr>
            <w:rStyle w:val="Hyperlink"/>
            <w:b/>
            <w:bCs/>
            <w:sz w:val="24"/>
            <w:szCs w:val="24"/>
          </w:rPr>
          <w:t>saugos duomenų lapas</w:t>
        </w:r>
        <w:r w:rsidR="000E6634" w:rsidRPr="000E6634">
          <w:rPr>
            <w:rStyle w:val="Hyperlink"/>
            <w:sz w:val="24"/>
            <w:szCs w:val="24"/>
          </w:rPr>
          <w:t> turi būti pateiktas, kai cheminė medžiaga ar mišinys klasifikuojama kaip pavojinga pagal CLP reglamentą</w:t>
        </w:r>
      </w:hyperlink>
      <w:hyperlink r:id="rId6" w:tgtFrame="_blank" w:history="1">
        <w:r w:rsidR="000E6634" w:rsidRPr="000E6634">
          <w:rPr>
            <w:rStyle w:val="Hyperlink"/>
            <w:sz w:val="24"/>
            <w:szCs w:val="24"/>
            <w:vertAlign w:val="superscript"/>
          </w:rPr>
          <w:t>1</w:t>
        </w:r>
      </w:hyperlink>
      <w:r w:rsidR="000E6634" w:rsidRPr="000E6634">
        <w:rPr>
          <w:sz w:val="24"/>
          <w:szCs w:val="24"/>
        </w:rPr>
        <w:t>. </w:t>
      </w:r>
      <w:hyperlink r:id="rId7" w:history="1">
        <w:r w:rsidR="000E6634" w:rsidRPr="000E6634">
          <w:rPr>
            <w:rStyle w:val="Hyperlink"/>
            <w:sz w:val="24"/>
            <w:szCs w:val="24"/>
          </w:rPr>
          <w:t xml:space="preserve">Taip pat SDL turi būti pateiktas, kai medžiaga yra atspari, </w:t>
        </w:r>
        <w:proofErr w:type="spellStart"/>
        <w:r w:rsidR="000E6634" w:rsidRPr="000E6634">
          <w:rPr>
            <w:rStyle w:val="Hyperlink"/>
            <w:sz w:val="24"/>
            <w:szCs w:val="24"/>
          </w:rPr>
          <w:t>bioakumuliacinė</w:t>
        </w:r>
        <w:proofErr w:type="spellEnd"/>
        <w:r w:rsidR="000E6634" w:rsidRPr="000E6634">
          <w:rPr>
            <w:rStyle w:val="Hyperlink"/>
            <w:sz w:val="24"/>
            <w:szCs w:val="24"/>
          </w:rPr>
          <w:t xml:space="preserve"> ir toksiška (PBT) arba labai patvari ir didelės </w:t>
        </w:r>
        <w:proofErr w:type="spellStart"/>
        <w:r w:rsidR="000E6634" w:rsidRPr="000E6634">
          <w:rPr>
            <w:rStyle w:val="Hyperlink"/>
            <w:sz w:val="24"/>
            <w:szCs w:val="24"/>
          </w:rPr>
          <w:t>bioakumuliacijos</w:t>
        </w:r>
        <w:proofErr w:type="spellEnd"/>
        <w:r w:rsidR="000E6634" w:rsidRPr="000E6634">
          <w:rPr>
            <w:rStyle w:val="Hyperlink"/>
            <w:sz w:val="24"/>
            <w:szCs w:val="24"/>
          </w:rPr>
          <w:t xml:space="preserve"> (</w:t>
        </w:r>
        <w:proofErr w:type="spellStart"/>
        <w:r w:rsidR="000E6634" w:rsidRPr="000E6634">
          <w:rPr>
            <w:rStyle w:val="Hyperlink"/>
            <w:sz w:val="24"/>
            <w:szCs w:val="24"/>
          </w:rPr>
          <w:t>vPvB</w:t>
        </w:r>
        <w:proofErr w:type="spellEnd"/>
        <w:r w:rsidR="000E6634" w:rsidRPr="000E6634">
          <w:rPr>
            <w:rStyle w:val="Hyperlink"/>
            <w:sz w:val="24"/>
            <w:szCs w:val="24"/>
          </w:rPr>
          <w:t>) pagal REACH reglamento XIII priede nustatytus kriterijus</w:t>
        </w:r>
      </w:hyperlink>
      <w:hyperlink r:id="rId8" w:tgtFrame="_blank" w:history="1">
        <w:r w:rsidR="000E6634" w:rsidRPr="000E6634">
          <w:rPr>
            <w:rStyle w:val="Hyperlink"/>
            <w:sz w:val="24"/>
            <w:szCs w:val="24"/>
            <w:vertAlign w:val="superscript"/>
          </w:rPr>
          <w:t>2</w:t>
        </w:r>
      </w:hyperlink>
      <w:r w:rsidR="000E6634" w:rsidRPr="000E6634">
        <w:rPr>
          <w:sz w:val="24"/>
          <w:szCs w:val="24"/>
        </w:rPr>
        <w:t>.</w:t>
      </w:r>
    </w:p>
    <w:p w14:paraId="26E77C2B" w14:textId="77777777" w:rsidR="000E6634" w:rsidRPr="000E6634" w:rsidRDefault="000E6634" w:rsidP="000E6634">
      <w:pPr>
        <w:rPr>
          <w:b/>
          <w:bCs/>
          <w:sz w:val="24"/>
          <w:szCs w:val="24"/>
        </w:rPr>
      </w:pPr>
      <w:r w:rsidRPr="000E6634">
        <w:rPr>
          <w:b/>
          <w:bCs/>
          <w:sz w:val="24"/>
          <w:szCs w:val="24"/>
        </w:rPr>
        <w:t>Teisės Aktų Reikalavimai</w:t>
      </w:r>
    </w:p>
    <w:p w14:paraId="199333CC" w14:textId="77777777" w:rsidR="000E6634" w:rsidRPr="000E6634" w:rsidRDefault="000E6634" w:rsidP="000E6634">
      <w:pPr>
        <w:rPr>
          <w:sz w:val="24"/>
          <w:szCs w:val="24"/>
        </w:rPr>
      </w:pPr>
      <w:r w:rsidRPr="000E6634">
        <w:rPr>
          <w:sz w:val="24"/>
          <w:szCs w:val="24"/>
        </w:rPr>
        <w:t>REACH ir CLP reglamentai nustato griežtus reikalavimus dėl </w:t>
      </w:r>
      <w:r w:rsidRPr="000E6634">
        <w:rPr>
          <w:b/>
          <w:bCs/>
          <w:sz w:val="24"/>
          <w:szCs w:val="24"/>
        </w:rPr>
        <w:t>saugos duomenų lapų</w:t>
      </w:r>
      <w:r w:rsidRPr="000E6634">
        <w:rPr>
          <w:sz w:val="24"/>
          <w:szCs w:val="24"/>
        </w:rPr>
        <w:t> rengimo ir pateikimo. </w:t>
      </w:r>
      <w:hyperlink r:id="rId9" w:history="1">
        <w:r w:rsidRPr="000E6634">
          <w:rPr>
            <w:rStyle w:val="Hyperlink"/>
            <w:sz w:val="24"/>
            <w:szCs w:val="24"/>
          </w:rPr>
          <w:t>Tiekėjai privalo užtikrinti, kad jų pateikiami SDL atitiktų visus teisės aktų reikalavimus, kad būtų užtikrintas saugus cheminių medžiagų ir mišinių naudojimas</w:t>
        </w:r>
      </w:hyperlink>
      <w:hyperlink r:id="rId10" w:tgtFrame="_blank" w:history="1">
        <w:r w:rsidRPr="000E6634">
          <w:rPr>
            <w:rStyle w:val="Hyperlink"/>
            <w:sz w:val="24"/>
            <w:szCs w:val="24"/>
            <w:vertAlign w:val="superscript"/>
          </w:rPr>
          <w:t>3</w:t>
        </w:r>
      </w:hyperlink>
      <w:r w:rsidRPr="000E6634">
        <w:rPr>
          <w:sz w:val="24"/>
          <w:szCs w:val="24"/>
        </w:rPr>
        <w:t>.</w:t>
      </w:r>
    </w:p>
    <w:p w14:paraId="3F36D919" w14:textId="77777777" w:rsidR="000E6634" w:rsidRPr="000E6634" w:rsidRDefault="000E6634" w:rsidP="000E6634">
      <w:pPr>
        <w:rPr>
          <w:b/>
          <w:bCs/>
          <w:sz w:val="24"/>
          <w:szCs w:val="24"/>
        </w:rPr>
      </w:pPr>
      <w:r w:rsidRPr="000E6634">
        <w:rPr>
          <w:b/>
          <w:bCs/>
          <w:sz w:val="24"/>
          <w:szCs w:val="24"/>
        </w:rPr>
        <w:t>Išvada</w:t>
      </w:r>
    </w:p>
    <w:p w14:paraId="36337291" w14:textId="77777777" w:rsidR="000E6634" w:rsidRPr="000E6634" w:rsidRDefault="000E6634" w:rsidP="000E6634">
      <w:pPr>
        <w:rPr>
          <w:sz w:val="24"/>
          <w:szCs w:val="24"/>
        </w:rPr>
      </w:pPr>
      <w:r w:rsidRPr="000E6634">
        <w:rPr>
          <w:b/>
          <w:bCs/>
          <w:sz w:val="24"/>
          <w:szCs w:val="24"/>
        </w:rPr>
        <w:t>Saugos duomenų lapai</w:t>
      </w:r>
      <w:r w:rsidRPr="000E6634">
        <w:rPr>
          <w:sz w:val="24"/>
          <w:szCs w:val="24"/>
        </w:rPr>
        <w:t> yra būtini dokumentai, užtikrinantys saugų cheminių medžiagų ir mišinių naudojimą. Laikantis REACH ir CLP reglamentų reikalavimų, šie dokumentai turi būti parengti kruopščiai ir tiksliai, kad būtų pateikta visa reikalinga informacija apie cheminės medžiagos ar mišinio pavojingumą ir saugos priemones.</w:t>
      </w:r>
    </w:p>
    <w:p w14:paraId="090E2DDC" w14:textId="77777777" w:rsidR="000E6634" w:rsidRPr="000E6634" w:rsidRDefault="00000000" w:rsidP="000E6634">
      <w:pPr>
        <w:rPr>
          <w:sz w:val="24"/>
          <w:szCs w:val="24"/>
        </w:rPr>
      </w:pPr>
      <w:hyperlink r:id="rId11" w:tgtFrame="_blank" w:history="1">
        <w:r w:rsidR="000E6634" w:rsidRPr="000E6634">
          <w:rPr>
            <w:rStyle w:val="Hyperlink"/>
            <w:sz w:val="24"/>
            <w:szCs w:val="24"/>
            <w:vertAlign w:val="superscript"/>
          </w:rPr>
          <w:t>1</w:t>
        </w:r>
      </w:hyperlink>
      <w:r w:rsidR="000E6634" w:rsidRPr="000E6634">
        <w:rPr>
          <w:sz w:val="24"/>
          <w:szCs w:val="24"/>
        </w:rPr>
        <w:t>: </w:t>
      </w:r>
      <w:hyperlink r:id="rId12" w:tgtFrame="_blank" w:history="1">
        <w:r w:rsidR="000E6634" w:rsidRPr="000E6634">
          <w:rPr>
            <w:rStyle w:val="Hyperlink"/>
            <w:sz w:val="24"/>
            <w:szCs w:val="24"/>
          </w:rPr>
          <w:t>Saugos duomenų lapų rengimas - APLINKOS VADYBA</w:t>
        </w:r>
      </w:hyperlink>
      <w:hyperlink r:id="rId13" w:history="1">
        <w:r w:rsidR="000E6634" w:rsidRPr="000E6634">
          <w:rPr>
            <w:rStyle w:val="Hyperlink"/>
            <w:sz w:val="24"/>
            <w:szCs w:val="24"/>
          </w:rPr>
          <w:t> </w:t>
        </w:r>
      </w:hyperlink>
      <w:hyperlink r:id="rId14" w:tgtFrame="_blank" w:history="1">
        <w:r w:rsidR="000E6634" w:rsidRPr="000E6634">
          <w:rPr>
            <w:rStyle w:val="Hyperlink"/>
            <w:sz w:val="24"/>
            <w:szCs w:val="24"/>
            <w:vertAlign w:val="superscript"/>
          </w:rPr>
          <w:t>2</w:t>
        </w:r>
      </w:hyperlink>
      <w:r w:rsidR="000E6634" w:rsidRPr="000E6634">
        <w:rPr>
          <w:sz w:val="24"/>
          <w:szCs w:val="24"/>
        </w:rPr>
        <w:t>: </w:t>
      </w:r>
      <w:hyperlink r:id="rId15" w:tgtFrame="_blank" w:history="1">
        <w:r w:rsidR="000E6634" w:rsidRPr="000E6634">
          <w:rPr>
            <w:rStyle w:val="Hyperlink"/>
            <w:sz w:val="24"/>
            <w:szCs w:val="24"/>
          </w:rPr>
          <w:t>Rekomendacijos dėl REACH reglamento - ECHA</w:t>
        </w:r>
      </w:hyperlink>
      <w:hyperlink r:id="rId16" w:history="1">
        <w:r w:rsidR="000E6634" w:rsidRPr="000E6634">
          <w:rPr>
            <w:rStyle w:val="Hyperlink"/>
            <w:sz w:val="24"/>
            <w:szCs w:val="24"/>
          </w:rPr>
          <w:t> </w:t>
        </w:r>
      </w:hyperlink>
      <w:hyperlink r:id="rId17" w:tgtFrame="_blank" w:history="1">
        <w:r w:rsidR="000E6634" w:rsidRPr="000E6634">
          <w:rPr>
            <w:rStyle w:val="Hyperlink"/>
            <w:sz w:val="24"/>
            <w:szCs w:val="24"/>
            <w:vertAlign w:val="superscript"/>
          </w:rPr>
          <w:t>3</w:t>
        </w:r>
      </w:hyperlink>
      <w:r w:rsidR="000E6634" w:rsidRPr="000E6634">
        <w:rPr>
          <w:sz w:val="24"/>
          <w:szCs w:val="24"/>
        </w:rPr>
        <w:t>: </w:t>
      </w:r>
      <w:hyperlink r:id="rId18" w:tgtFrame="_blank" w:history="1">
        <w:r w:rsidR="000E6634" w:rsidRPr="000E6634">
          <w:rPr>
            <w:rStyle w:val="Hyperlink"/>
            <w:sz w:val="24"/>
            <w:szCs w:val="24"/>
          </w:rPr>
          <w:t>CLP reglamentas</w:t>
        </w:r>
      </w:hyperlink>
    </w:p>
    <w:p w14:paraId="7E30505A" w14:textId="702438C1" w:rsidR="00E203D9" w:rsidRDefault="00000000">
      <w:hyperlink r:id="rId19" w:history="1">
        <w:r w:rsidR="00E203D9" w:rsidRPr="00E203D9">
          <w:rPr>
            <w:rStyle w:val="Hyperlink"/>
          </w:rPr>
          <w:t xml:space="preserve">Pavojingos medžiagos | </w:t>
        </w:r>
        <w:proofErr w:type="spellStart"/>
        <w:r w:rsidR="00E203D9" w:rsidRPr="00E203D9">
          <w:rPr>
            <w:rStyle w:val="Hyperlink"/>
          </w:rPr>
          <w:t>Safety</w:t>
        </w:r>
        <w:proofErr w:type="spellEnd"/>
        <w:r w:rsidR="00E203D9" w:rsidRPr="00E203D9">
          <w:rPr>
            <w:rStyle w:val="Hyperlink"/>
          </w:rPr>
          <w:t xml:space="preserve"> </w:t>
        </w:r>
        <w:proofErr w:type="spellStart"/>
        <w:r w:rsidR="00E203D9" w:rsidRPr="00E203D9">
          <w:rPr>
            <w:rStyle w:val="Hyperlink"/>
          </w:rPr>
          <w:t>and</w:t>
        </w:r>
        <w:proofErr w:type="spellEnd"/>
        <w:r w:rsidR="00E203D9" w:rsidRPr="00E203D9">
          <w:rPr>
            <w:rStyle w:val="Hyperlink"/>
          </w:rPr>
          <w:t xml:space="preserve"> </w:t>
        </w:r>
        <w:proofErr w:type="spellStart"/>
        <w:r w:rsidR="00E203D9" w:rsidRPr="00E203D9">
          <w:rPr>
            <w:rStyle w:val="Hyperlink"/>
          </w:rPr>
          <w:t>health</w:t>
        </w:r>
        <w:proofErr w:type="spellEnd"/>
        <w:r w:rsidR="00E203D9" w:rsidRPr="00E203D9">
          <w:rPr>
            <w:rStyle w:val="Hyperlink"/>
          </w:rPr>
          <w:t xml:space="preserve"> at </w:t>
        </w:r>
        <w:proofErr w:type="spellStart"/>
        <w:r w:rsidR="00E203D9" w:rsidRPr="00E203D9">
          <w:rPr>
            <w:rStyle w:val="Hyperlink"/>
          </w:rPr>
          <w:t>work</w:t>
        </w:r>
        <w:proofErr w:type="spellEnd"/>
        <w:r w:rsidR="00E203D9" w:rsidRPr="00E203D9">
          <w:rPr>
            <w:rStyle w:val="Hyperlink"/>
          </w:rPr>
          <w:t xml:space="preserve"> EU-OSHA (europa.eu)</w:t>
        </w:r>
      </w:hyperlink>
    </w:p>
    <w:p w14:paraId="60EDFF5E" w14:textId="0F32274F" w:rsidR="00E203D9" w:rsidRDefault="00000000">
      <w:hyperlink r:id="rId20" w:history="1">
        <w:r w:rsidR="00E203D9" w:rsidRPr="00E203D9">
          <w:rPr>
            <w:rStyle w:val="Hyperlink"/>
          </w:rPr>
          <w:t>V-824/A1-389 Dėl Lietuvos higienos normos HN 23:2011 „Cheminių medžiagų profesinio poveikio ribiniai dydžiai. ... (</w:t>
        </w:r>
        <w:proofErr w:type="spellStart"/>
        <w:r w:rsidR="00E203D9" w:rsidRPr="00E203D9">
          <w:rPr>
            <w:rStyle w:val="Hyperlink"/>
          </w:rPr>
          <w:t>lrs.lt</w:t>
        </w:r>
        <w:proofErr w:type="spellEnd"/>
        <w:r w:rsidR="00E203D9" w:rsidRPr="00E203D9">
          <w:rPr>
            <w:rStyle w:val="Hyperlink"/>
          </w:rPr>
          <w:t>)</w:t>
        </w:r>
      </w:hyperlink>
    </w:p>
    <w:p w14:paraId="5318D5CF" w14:textId="7C366B92" w:rsidR="00E203D9" w:rsidRDefault="00000000">
      <w:hyperlink r:id="rId21" w:history="1">
        <w:r w:rsidR="00E203D9" w:rsidRPr="00E203D9">
          <w:rPr>
            <w:rStyle w:val="Hyperlink"/>
          </w:rPr>
          <w:t>(2) Facebook</w:t>
        </w:r>
      </w:hyperlink>
    </w:p>
    <w:p w14:paraId="72C32FD3" w14:textId="77777777" w:rsidR="00E203D9" w:rsidRDefault="00E203D9"/>
    <w:p w14:paraId="7CADB0A8" w14:textId="77777777" w:rsidR="00E203D9" w:rsidRDefault="00E203D9"/>
    <w:p w14:paraId="125E93A2" w14:textId="77777777" w:rsidR="00E203D9" w:rsidRDefault="00E203D9"/>
    <w:sectPr w:rsidR="00E203D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83658"/>
    <w:multiLevelType w:val="multilevel"/>
    <w:tmpl w:val="259E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274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34"/>
    <w:rsid w:val="00015A80"/>
    <w:rsid w:val="000E6634"/>
    <w:rsid w:val="00140999"/>
    <w:rsid w:val="00142184"/>
    <w:rsid w:val="001C0119"/>
    <w:rsid w:val="0032790B"/>
    <w:rsid w:val="005176D2"/>
    <w:rsid w:val="005C61D2"/>
    <w:rsid w:val="0098483E"/>
    <w:rsid w:val="00AD0237"/>
    <w:rsid w:val="00E203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5276"/>
  <w15:chartTrackingRefBased/>
  <w15:docId w15:val="{7A18F1E3-8414-4808-8407-93059DC9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6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66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66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66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66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66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6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6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6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6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66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66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66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66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66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6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6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634"/>
    <w:rPr>
      <w:rFonts w:eastAsiaTheme="majorEastAsia" w:cstheme="majorBidi"/>
      <w:color w:val="272727" w:themeColor="text1" w:themeTint="D8"/>
    </w:rPr>
  </w:style>
  <w:style w:type="paragraph" w:styleId="Title">
    <w:name w:val="Title"/>
    <w:basedOn w:val="Normal"/>
    <w:next w:val="Normal"/>
    <w:link w:val="TitleChar"/>
    <w:uiPriority w:val="10"/>
    <w:qFormat/>
    <w:rsid w:val="000E6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6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6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634"/>
    <w:pPr>
      <w:spacing w:before="160"/>
      <w:jc w:val="center"/>
    </w:pPr>
    <w:rPr>
      <w:i/>
      <w:iCs/>
      <w:color w:val="404040" w:themeColor="text1" w:themeTint="BF"/>
    </w:rPr>
  </w:style>
  <w:style w:type="character" w:customStyle="1" w:styleId="QuoteChar">
    <w:name w:val="Quote Char"/>
    <w:basedOn w:val="DefaultParagraphFont"/>
    <w:link w:val="Quote"/>
    <w:uiPriority w:val="29"/>
    <w:rsid w:val="000E6634"/>
    <w:rPr>
      <w:i/>
      <w:iCs/>
      <w:color w:val="404040" w:themeColor="text1" w:themeTint="BF"/>
    </w:rPr>
  </w:style>
  <w:style w:type="paragraph" w:styleId="ListParagraph">
    <w:name w:val="List Paragraph"/>
    <w:basedOn w:val="Normal"/>
    <w:uiPriority w:val="34"/>
    <w:qFormat/>
    <w:rsid w:val="000E6634"/>
    <w:pPr>
      <w:ind w:left="720"/>
      <w:contextualSpacing/>
    </w:pPr>
  </w:style>
  <w:style w:type="character" w:styleId="IntenseEmphasis">
    <w:name w:val="Intense Emphasis"/>
    <w:basedOn w:val="DefaultParagraphFont"/>
    <w:uiPriority w:val="21"/>
    <w:qFormat/>
    <w:rsid w:val="000E6634"/>
    <w:rPr>
      <w:i/>
      <w:iCs/>
      <w:color w:val="2F5496" w:themeColor="accent1" w:themeShade="BF"/>
    </w:rPr>
  </w:style>
  <w:style w:type="paragraph" w:styleId="IntenseQuote">
    <w:name w:val="Intense Quote"/>
    <w:basedOn w:val="Normal"/>
    <w:next w:val="Normal"/>
    <w:link w:val="IntenseQuoteChar"/>
    <w:uiPriority w:val="30"/>
    <w:qFormat/>
    <w:rsid w:val="000E6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6634"/>
    <w:rPr>
      <w:i/>
      <w:iCs/>
      <w:color w:val="2F5496" w:themeColor="accent1" w:themeShade="BF"/>
    </w:rPr>
  </w:style>
  <w:style w:type="character" w:styleId="IntenseReference">
    <w:name w:val="Intense Reference"/>
    <w:basedOn w:val="DefaultParagraphFont"/>
    <w:uiPriority w:val="32"/>
    <w:qFormat/>
    <w:rsid w:val="000E6634"/>
    <w:rPr>
      <w:b/>
      <w:bCs/>
      <w:smallCaps/>
      <w:color w:val="2F5496" w:themeColor="accent1" w:themeShade="BF"/>
      <w:spacing w:val="5"/>
    </w:rPr>
  </w:style>
  <w:style w:type="character" w:styleId="Hyperlink">
    <w:name w:val="Hyperlink"/>
    <w:basedOn w:val="DefaultParagraphFont"/>
    <w:uiPriority w:val="99"/>
    <w:unhideWhenUsed/>
    <w:rsid w:val="000E6634"/>
    <w:rPr>
      <w:color w:val="0563C1" w:themeColor="hyperlink"/>
      <w:u w:val="single"/>
    </w:rPr>
  </w:style>
  <w:style w:type="character" w:styleId="UnresolvedMention">
    <w:name w:val="Unresolved Mention"/>
    <w:basedOn w:val="DefaultParagraphFont"/>
    <w:uiPriority w:val="99"/>
    <w:semiHidden/>
    <w:unhideWhenUsed/>
    <w:rsid w:val="000E6634"/>
    <w:rPr>
      <w:color w:val="605E5C"/>
      <w:shd w:val="clear" w:color="auto" w:fill="E1DFDD"/>
    </w:rPr>
  </w:style>
  <w:style w:type="character" w:styleId="FollowedHyperlink">
    <w:name w:val="FollowedHyperlink"/>
    <w:basedOn w:val="DefaultParagraphFont"/>
    <w:uiPriority w:val="99"/>
    <w:semiHidden/>
    <w:unhideWhenUsed/>
    <w:rsid w:val="003279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886382">
      <w:bodyDiv w:val="1"/>
      <w:marLeft w:val="0"/>
      <w:marRight w:val="0"/>
      <w:marTop w:val="0"/>
      <w:marBottom w:val="0"/>
      <w:divBdr>
        <w:top w:val="none" w:sz="0" w:space="0" w:color="auto"/>
        <w:left w:val="none" w:sz="0" w:space="0" w:color="auto"/>
        <w:bottom w:val="none" w:sz="0" w:space="0" w:color="auto"/>
        <w:right w:val="none" w:sz="0" w:space="0" w:color="auto"/>
      </w:divBdr>
    </w:div>
    <w:div w:id="148658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a.europa.eu/lt/-/guidance-on-the-compilation-of-safety-data-sheets" TargetMode="External"/><Relationship Id="rId13" Type="http://schemas.openxmlformats.org/officeDocument/2006/relationships/hyperlink" Target="https://www.aplinkosvadyba.lt/index.php/reach-reglamento-gyvendinimo-pagalba/saugos-duomenu-lapu-rengimas" TargetMode="External"/><Relationship Id="rId18" Type="http://schemas.openxmlformats.org/officeDocument/2006/relationships/hyperlink" Target="https://www.aplinkosvadyba.lt/index.php/reach/klasifikavimas-ir-zenklinimas" TargetMode="External"/><Relationship Id="rId3" Type="http://schemas.openxmlformats.org/officeDocument/2006/relationships/settings" Target="settings.xml"/><Relationship Id="rId21" Type="http://schemas.openxmlformats.org/officeDocument/2006/relationships/hyperlink" Target="https://www.facebook.com/DealZoneLT/" TargetMode="External"/><Relationship Id="rId7" Type="http://schemas.openxmlformats.org/officeDocument/2006/relationships/hyperlink" Target="https://www.aplinkosvadyba.lt/index.php/reach-reglamento-gyvendinimo-pagalba/saugos-duomenu-lapu-rengimas" TargetMode="External"/><Relationship Id="rId12" Type="http://schemas.openxmlformats.org/officeDocument/2006/relationships/hyperlink" Target="https://www.aplinkosvadyba.lt/index.php/reach-reglamento-gyvendinimo-pagalba/saugos-duomenu-lapu-rengimas" TargetMode="External"/><Relationship Id="rId17" Type="http://schemas.openxmlformats.org/officeDocument/2006/relationships/hyperlink" Target="https://www.lemona.lt/Files/Instrukcijos/TI/Lt/Pdf/SDL_PRF%20202_220_LT.pdf" TargetMode="External"/><Relationship Id="rId2" Type="http://schemas.openxmlformats.org/officeDocument/2006/relationships/styles" Target="styles.xml"/><Relationship Id="rId16" Type="http://schemas.openxmlformats.org/officeDocument/2006/relationships/hyperlink" Target="https://www.aplinkosvadyba.lt/index.php/reach-reglamento-gyvendinimo-pagalba/saugos-duomenu-lapu-rengimas" TargetMode="External"/><Relationship Id="rId20" Type="http://schemas.openxmlformats.org/officeDocument/2006/relationships/hyperlink" Target="https://e-seimas.lrs.lt/portal/legalAct/lt/TAD/TAIS.405920" TargetMode="External"/><Relationship Id="rId1" Type="http://schemas.openxmlformats.org/officeDocument/2006/relationships/numbering" Target="numbering.xml"/><Relationship Id="rId6" Type="http://schemas.openxmlformats.org/officeDocument/2006/relationships/hyperlink" Target="https://www.aplinkosvadyba.lt/index.php/reach-reglamento-gyvendinimo-pagalba/saugos-duomenu-lapu-rengimas" TargetMode="External"/><Relationship Id="rId11" Type="http://schemas.openxmlformats.org/officeDocument/2006/relationships/hyperlink" Target="https://www.aplinkosvadyba.lt/index.php/reach-reglamento-gyvendinimo-pagalba/saugos-duomenu-lapu-rengimas" TargetMode="External"/><Relationship Id="rId5" Type="http://schemas.openxmlformats.org/officeDocument/2006/relationships/hyperlink" Target="https://www.aplinkosvadyba.lt/index.php/reach-reglamento-gyvendinimo-pagalba/saugos-duomenu-lapu-rengimas" TargetMode="External"/><Relationship Id="rId15" Type="http://schemas.openxmlformats.org/officeDocument/2006/relationships/hyperlink" Target="https://echa.europa.eu/lt/-/guidance-on-the-compilation-of-safety-data-sheets" TargetMode="External"/><Relationship Id="rId23" Type="http://schemas.openxmlformats.org/officeDocument/2006/relationships/theme" Target="theme/theme1.xml"/><Relationship Id="rId10" Type="http://schemas.openxmlformats.org/officeDocument/2006/relationships/hyperlink" Target="https://www.lemona.lt/Files/Instrukcijos/TI/Lt/Pdf/SDL_PRF%20202_220_LT.pdf" TargetMode="External"/><Relationship Id="rId19" Type="http://schemas.openxmlformats.org/officeDocument/2006/relationships/hyperlink" Target="https://osha.europa.eu/lt/themes/dangerous-substances" TargetMode="External"/><Relationship Id="rId4" Type="http://schemas.openxmlformats.org/officeDocument/2006/relationships/webSettings" Target="webSettings.xml"/><Relationship Id="rId9" Type="http://schemas.openxmlformats.org/officeDocument/2006/relationships/hyperlink" Target="https://www.aplinkosvadyba.lt/index.php/reach-reglamento-gyvendinimo-pagalba/saugos-duomenu-lapu-rengimas" TargetMode="External"/><Relationship Id="rId14" Type="http://schemas.openxmlformats.org/officeDocument/2006/relationships/hyperlink" Target="https://echa.europa.eu/lt/-/guidance-on-the-compilation-of-safety-data-sheets"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2180</TotalTime>
  <Pages>1</Pages>
  <Words>2703</Words>
  <Characters>1541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Dzetaveckas</dc:creator>
  <cp:keywords/>
  <dc:description/>
  <cp:lastModifiedBy>Antanas Dzetaveckas</cp:lastModifiedBy>
  <cp:revision>4</cp:revision>
  <dcterms:created xsi:type="dcterms:W3CDTF">2024-08-09T12:34:00Z</dcterms:created>
  <dcterms:modified xsi:type="dcterms:W3CDTF">2024-08-14T12:48:00Z</dcterms:modified>
</cp:coreProperties>
</file>